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A93D5">
      <w:pPr>
        <w:pStyle w:val="2"/>
        <w:jc w:val="center"/>
        <w:rPr>
          <w:rFonts w:hint="default" w:ascii="Times New Roman" w:hAnsi="Times New Roman" w:cs="Times New Roman"/>
          <w:b w:val="0"/>
          <w:bCs w:val="0"/>
          <w:sz w:val="36"/>
          <w:szCs w:val="36"/>
          <w:lang w:val="en-US" w:eastAsia="zh-CN"/>
        </w:rPr>
      </w:pPr>
      <w:bookmarkStart w:id="0" w:name="_Toc28511"/>
      <w:bookmarkStart w:id="1" w:name="_Toc7976"/>
      <w:bookmarkStart w:id="2" w:name="_Toc413417184"/>
    </w:p>
    <w:p w14:paraId="1FEC7446">
      <w:pPr>
        <w:pStyle w:val="2"/>
        <w:jc w:val="center"/>
        <w:rPr>
          <w:rFonts w:hint="default" w:ascii="Times New Roman" w:hAnsi="Times New Roman" w:cs="Times New Roman"/>
          <w:b w:val="0"/>
          <w:bCs w:val="0"/>
          <w:sz w:val="36"/>
          <w:szCs w:val="36"/>
          <w:lang w:val="en-US" w:eastAsia="zh-CN"/>
        </w:rPr>
      </w:pPr>
    </w:p>
    <w:p w14:paraId="596CC6C9">
      <w:pPr>
        <w:pStyle w:val="2"/>
        <w:jc w:val="center"/>
        <w:rPr>
          <w:rFonts w:hint="default" w:ascii="Times New Roman" w:hAnsi="Times New Roman" w:cs="Times New Roman"/>
          <w:b w:val="0"/>
          <w:bCs w:val="0"/>
          <w:sz w:val="36"/>
          <w:szCs w:val="36"/>
          <w:lang w:val="en-US" w:eastAsia="zh-CN"/>
        </w:rPr>
      </w:pPr>
    </w:p>
    <w:p w14:paraId="0D9327BB">
      <w:pPr>
        <w:pStyle w:val="2"/>
        <w:jc w:val="center"/>
        <w:rPr>
          <w:rFonts w:hint="default" w:ascii="Times New Roman" w:hAnsi="Times New Roman" w:cs="Times New Roman"/>
          <w:b w:val="0"/>
          <w:bCs w:val="0"/>
          <w:sz w:val="36"/>
          <w:szCs w:val="36"/>
          <w:lang w:val="en-US" w:eastAsia="zh-CN"/>
        </w:rPr>
      </w:pPr>
    </w:p>
    <w:bookmarkEnd w:id="0"/>
    <w:bookmarkEnd w:id="1"/>
    <w:bookmarkEnd w:id="2"/>
    <w:p w14:paraId="002646F9">
      <w:pPr>
        <w:pStyle w:val="2"/>
        <w:jc w:val="center"/>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t>化学气相沉积法（CVD）制备的铜箔衬底上石墨烯薄膜完整度测试技术规范</w:t>
      </w:r>
    </w:p>
    <w:p w14:paraId="687CB662">
      <w:pPr>
        <w:jc w:val="center"/>
        <w:rPr>
          <w:rFonts w:hint="default" w:ascii="Times New Roman" w:hAnsi="Times New Roman" w:eastAsia="黑体" w:cs="Times New Roman"/>
          <w:b/>
          <w:bCs/>
          <w:kern w:val="44"/>
          <w:sz w:val="44"/>
          <w:szCs w:val="44"/>
          <w:lang w:val="en-US" w:eastAsia="zh-CN" w:bidi="ar-SA"/>
        </w:rPr>
      </w:pPr>
      <w:r>
        <w:rPr>
          <w:rFonts w:hint="eastAsia" w:ascii="Times New Roman" w:hAnsi="Times New Roman" w:eastAsia="黑体" w:cs="Times New Roman"/>
          <w:b/>
          <w:bCs/>
          <w:kern w:val="44"/>
          <w:sz w:val="44"/>
          <w:szCs w:val="44"/>
          <w:lang w:val="en-US" w:eastAsia="zh-CN" w:bidi="ar-SA"/>
        </w:rPr>
        <w:t>编制说明</w:t>
      </w:r>
    </w:p>
    <w:p w14:paraId="5F73EA6B">
      <w:pPr>
        <w:jc w:val="center"/>
        <w:rPr>
          <w:rFonts w:hint="default" w:ascii="Times New Roman" w:hAnsi="Times New Roman" w:cs="Times New Roman"/>
          <w:b w:val="0"/>
          <w:bCs w:val="0"/>
          <w:sz w:val="36"/>
          <w:szCs w:val="36"/>
          <w:lang w:val="en-US" w:eastAsia="zh-CN"/>
        </w:rPr>
      </w:pPr>
    </w:p>
    <w:p w14:paraId="2CFF7497">
      <w:pPr>
        <w:jc w:val="center"/>
        <w:rPr>
          <w:rFonts w:hint="default" w:ascii="Times New Roman" w:hAnsi="Times New Roman" w:cs="Times New Roman"/>
          <w:b w:val="0"/>
          <w:bCs w:val="0"/>
          <w:sz w:val="36"/>
          <w:szCs w:val="36"/>
          <w:lang w:val="en-US" w:eastAsia="zh-CN"/>
        </w:rPr>
      </w:pPr>
    </w:p>
    <w:p w14:paraId="30299925">
      <w:pPr>
        <w:jc w:val="center"/>
        <w:rPr>
          <w:rFonts w:hint="default" w:ascii="Times New Roman" w:hAnsi="Times New Roman" w:cs="Times New Roman"/>
          <w:b w:val="0"/>
          <w:bCs w:val="0"/>
          <w:sz w:val="36"/>
          <w:szCs w:val="36"/>
          <w:lang w:val="en-US" w:eastAsia="zh-CN"/>
        </w:rPr>
      </w:pPr>
    </w:p>
    <w:p w14:paraId="04174619">
      <w:pPr>
        <w:jc w:val="center"/>
        <w:rPr>
          <w:rFonts w:hint="default" w:ascii="Times New Roman" w:hAnsi="Times New Roman" w:cs="Times New Roman"/>
          <w:b w:val="0"/>
          <w:bCs w:val="0"/>
          <w:sz w:val="36"/>
          <w:szCs w:val="36"/>
          <w:lang w:val="en-US" w:eastAsia="zh-CN"/>
        </w:rPr>
      </w:pPr>
    </w:p>
    <w:p w14:paraId="799CFC83">
      <w:pPr>
        <w:jc w:val="center"/>
        <w:rPr>
          <w:rFonts w:hint="default" w:ascii="Times New Roman" w:hAnsi="Times New Roman" w:cs="Times New Roman"/>
          <w:b w:val="0"/>
          <w:bCs w:val="0"/>
          <w:sz w:val="36"/>
          <w:szCs w:val="36"/>
          <w:lang w:val="en-US" w:eastAsia="zh-CN"/>
        </w:rPr>
      </w:pPr>
    </w:p>
    <w:tbl>
      <w:tblPr>
        <w:tblStyle w:val="4"/>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68"/>
        <w:gridCol w:w="7085"/>
      </w:tblGrid>
      <w:tr w14:paraId="3406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2068" w:type="dxa"/>
            <w:tcBorders>
              <w:top w:val="nil"/>
              <w:left w:val="nil"/>
              <w:bottom w:val="nil"/>
              <w:right w:val="nil"/>
            </w:tcBorders>
            <w:shd w:val="clear" w:color="auto" w:fill="auto"/>
            <w:noWrap/>
            <w:vAlign w:val="bottom"/>
          </w:tcPr>
          <w:p w14:paraId="74DBC07B">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主要起草单位：</w:t>
            </w:r>
          </w:p>
        </w:tc>
        <w:tc>
          <w:tcPr>
            <w:tcW w:w="7085" w:type="dxa"/>
            <w:tcBorders>
              <w:top w:val="nil"/>
              <w:left w:val="nil"/>
              <w:bottom w:val="nil"/>
              <w:right w:val="nil"/>
            </w:tcBorders>
            <w:shd w:val="clear" w:color="auto" w:fill="auto"/>
            <w:noWrap/>
            <w:vAlign w:val="bottom"/>
          </w:tcPr>
          <w:p w14:paraId="73ADFAF4">
            <w:pPr>
              <w:keepNext w:val="0"/>
              <w:keepLines w:val="0"/>
              <w:widowControl/>
              <w:suppressLineNumbers w:val="0"/>
              <w:spacing w:line="360" w:lineRule="auto"/>
              <w:jc w:val="left"/>
              <w:textAlignment w:val="bottom"/>
              <w:rPr>
                <w:rFonts w:hint="default" w:ascii="宋体" w:hAnsi="宋体" w:eastAsia="宋体" w:cs="宋体"/>
                <w:i w:val="0"/>
                <w:iCs w:val="0"/>
                <w:color w:val="000000"/>
                <w:sz w:val="28"/>
                <w:szCs w:val="28"/>
                <w:u w:val="single"/>
                <w:lang w:val="en-US"/>
              </w:rPr>
            </w:pPr>
            <w:r>
              <w:rPr>
                <w:rFonts w:hint="eastAsia" w:ascii="宋体" w:hAnsi="宋体" w:eastAsia="宋体" w:cs="宋体"/>
                <w:i w:val="0"/>
                <w:iCs w:val="0"/>
                <w:color w:val="000000"/>
                <w:kern w:val="0"/>
                <w:sz w:val="28"/>
                <w:szCs w:val="28"/>
                <w:u w:val="single"/>
                <w:lang w:val="en-US" w:eastAsia="zh-CN" w:bidi="ar"/>
              </w:rPr>
              <w:t>中国计量科学研究院</w:t>
            </w:r>
            <w:r>
              <w:rPr>
                <w:rFonts w:hint="eastAsia" w:ascii="宋体" w:hAnsi="宋体" w:cs="宋体"/>
                <w:i w:val="0"/>
                <w:iCs w:val="0"/>
                <w:color w:val="000000"/>
                <w:kern w:val="0"/>
                <w:sz w:val="28"/>
                <w:szCs w:val="28"/>
                <w:u w:val="single"/>
                <w:lang w:val="en-US" w:eastAsia="zh-CN" w:bidi="ar"/>
              </w:rPr>
              <w:t>、国</w:t>
            </w:r>
            <w:r>
              <w:rPr>
                <w:rFonts w:hint="eastAsia" w:ascii="宋体" w:hAnsi="宋体" w:eastAsia="宋体" w:cs="宋体"/>
                <w:i w:val="0"/>
                <w:iCs w:val="0"/>
                <w:color w:val="000000"/>
                <w:kern w:val="0"/>
                <w:sz w:val="28"/>
                <w:szCs w:val="28"/>
                <w:u w:val="single"/>
                <w:lang w:val="en-US" w:eastAsia="zh-CN" w:bidi="ar"/>
              </w:rPr>
              <w:t>家纳米科学中心</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p>
        </w:tc>
      </w:tr>
      <w:tr w14:paraId="7849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2068" w:type="dxa"/>
            <w:tcBorders>
              <w:top w:val="nil"/>
              <w:left w:val="nil"/>
              <w:bottom w:val="nil"/>
              <w:right w:val="nil"/>
            </w:tcBorders>
            <w:shd w:val="clear" w:color="auto" w:fill="auto"/>
            <w:noWrap/>
            <w:vAlign w:val="bottom"/>
          </w:tcPr>
          <w:p w14:paraId="047F8427">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参与起草单位：</w:t>
            </w:r>
          </w:p>
        </w:tc>
        <w:tc>
          <w:tcPr>
            <w:tcW w:w="7085" w:type="dxa"/>
            <w:tcBorders>
              <w:top w:val="nil"/>
              <w:left w:val="nil"/>
              <w:bottom w:val="nil"/>
              <w:right w:val="nil"/>
            </w:tcBorders>
            <w:shd w:val="clear" w:color="auto" w:fill="auto"/>
            <w:noWrap/>
            <w:vAlign w:val="bottom"/>
          </w:tcPr>
          <w:p w14:paraId="24BAD1B7">
            <w:pPr>
              <w:keepNext w:val="0"/>
              <w:keepLines w:val="0"/>
              <w:widowControl/>
              <w:suppressLineNumbers w:val="0"/>
              <w:spacing w:line="360" w:lineRule="auto"/>
              <w:jc w:val="left"/>
              <w:textAlignment w:val="bottom"/>
              <w:rPr>
                <w:rFonts w:hint="default" w:ascii="宋体" w:hAnsi="宋体" w:eastAsia="宋体" w:cs="宋体"/>
                <w:i w:val="0"/>
                <w:iCs w:val="0"/>
                <w:color w:val="000000"/>
                <w:sz w:val="28"/>
                <w:szCs w:val="28"/>
                <w:u w:val="single"/>
                <w:lang w:val="en-US"/>
              </w:rPr>
            </w:pPr>
            <w:r>
              <w:rPr>
                <w:rFonts w:hint="eastAsia" w:ascii="宋体" w:hAnsi="宋体" w:cs="宋体"/>
                <w:i w:val="0"/>
                <w:iCs w:val="0"/>
                <w:color w:val="000000"/>
                <w:kern w:val="0"/>
                <w:sz w:val="28"/>
                <w:szCs w:val="28"/>
                <w:u w:val="single"/>
                <w:lang w:val="en-US" w:eastAsia="zh-CN" w:bidi="ar"/>
              </w:rPr>
              <w:t xml:space="preserve">常州第六元素科技股份有限公司、北京石墨烯研究院                   </w:t>
            </w:r>
            <w:r>
              <w:rPr>
                <w:rFonts w:hint="eastAsia" w:ascii="宋体" w:hAnsi="宋体" w:eastAsia="宋体" w:cs="宋体"/>
                <w:i w:val="0"/>
                <w:iCs w:val="0"/>
                <w:color w:val="000000"/>
                <w:kern w:val="0"/>
                <w:sz w:val="28"/>
                <w:szCs w:val="28"/>
                <w:u w:val="single"/>
                <w:lang w:val="en-US" w:eastAsia="zh-CN" w:bidi="ar"/>
              </w:rPr>
              <w:t xml:space="preserve"> </w:t>
            </w:r>
          </w:p>
        </w:tc>
      </w:tr>
      <w:tr w14:paraId="774B7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2068" w:type="dxa"/>
            <w:tcBorders>
              <w:top w:val="nil"/>
              <w:left w:val="nil"/>
              <w:bottom w:val="nil"/>
              <w:right w:val="nil"/>
            </w:tcBorders>
            <w:shd w:val="clear" w:color="auto" w:fill="auto"/>
            <w:noWrap/>
            <w:vAlign w:val="bottom"/>
          </w:tcPr>
          <w:p w14:paraId="32D22EFA">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主要起草人：</w:t>
            </w:r>
          </w:p>
        </w:tc>
        <w:tc>
          <w:tcPr>
            <w:tcW w:w="7085" w:type="dxa"/>
            <w:tcBorders>
              <w:top w:val="nil"/>
              <w:left w:val="nil"/>
              <w:bottom w:val="nil"/>
              <w:right w:val="nil"/>
            </w:tcBorders>
            <w:shd w:val="clear" w:color="auto" w:fill="auto"/>
            <w:noWrap/>
            <w:vAlign w:val="bottom"/>
          </w:tcPr>
          <w:p w14:paraId="0D800DC9">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贾志立 任玲玲</w:t>
            </w:r>
            <w:r>
              <w:rPr>
                <w:rFonts w:hint="eastAsia" w:ascii="宋体" w:hAnsi="宋体" w:cs="宋体"/>
                <w:i w:val="0"/>
                <w:iCs w:val="0"/>
                <w:color w:val="000000"/>
                <w:kern w:val="0"/>
                <w:sz w:val="28"/>
                <w:szCs w:val="28"/>
                <w:u w:val="single"/>
                <w:lang w:val="en-US" w:eastAsia="zh-CN" w:bidi="ar"/>
              </w:rPr>
              <w:t xml:space="preserve"> 刘忍肖                        </w:t>
            </w:r>
            <w:r>
              <w:rPr>
                <w:rFonts w:hint="eastAsia" w:ascii="宋体" w:hAnsi="宋体" w:eastAsia="宋体" w:cs="宋体"/>
                <w:i w:val="0"/>
                <w:iCs w:val="0"/>
                <w:color w:val="000000"/>
                <w:kern w:val="0"/>
                <w:sz w:val="28"/>
                <w:szCs w:val="28"/>
                <w:u w:val="single"/>
                <w:lang w:val="en-US" w:eastAsia="zh-CN" w:bidi="ar"/>
              </w:rPr>
              <w:t xml:space="preserve">      </w:t>
            </w:r>
          </w:p>
        </w:tc>
      </w:tr>
      <w:tr w14:paraId="4317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2068" w:type="dxa"/>
            <w:tcBorders>
              <w:top w:val="nil"/>
              <w:left w:val="nil"/>
              <w:bottom w:val="nil"/>
              <w:right w:val="nil"/>
            </w:tcBorders>
            <w:shd w:val="clear" w:color="auto" w:fill="auto"/>
            <w:noWrap/>
            <w:vAlign w:val="bottom"/>
          </w:tcPr>
          <w:p w14:paraId="168B3D0D">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参加起草人：</w:t>
            </w:r>
          </w:p>
        </w:tc>
        <w:tc>
          <w:tcPr>
            <w:tcW w:w="7085" w:type="dxa"/>
            <w:tcBorders>
              <w:top w:val="nil"/>
              <w:left w:val="nil"/>
              <w:bottom w:val="nil"/>
              <w:right w:val="nil"/>
            </w:tcBorders>
            <w:shd w:val="clear" w:color="auto" w:fill="auto"/>
            <w:noWrap/>
            <w:vAlign w:val="bottom"/>
          </w:tcPr>
          <w:p w14:paraId="51C665EA">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cs="宋体"/>
                <w:i w:val="0"/>
                <w:iCs w:val="0"/>
                <w:color w:val="000000"/>
                <w:kern w:val="0"/>
                <w:sz w:val="28"/>
                <w:szCs w:val="28"/>
                <w:u w:val="single"/>
                <w:lang w:val="en-US" w:eastAsia="zh-CN" w:bidi="ar"/>
              </w:rPr>
              <w:t xml:space="preserve">李鑫 张荣花 </w:t>
            </w: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p>
        </w:tc>
      </w:tr>
    </w:tbl>
    <w:p w14:paraId="762FB6F7">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47820A31">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01E57DA1">
      <w:pPr>
        <w:spacing w:line="360" w:lineRule="auto"/>
        <w:rPr>
          <w:rFonts w:hint="eastAsia" w:ascii="黑体" w:hAnsi="黑体" w:eastAsia="黑体" w:cs="黑体"/>
          <w:color w:val="000000"/>
          <w:sz w:val="24"/>
          <w:lang w:eastAsia="zh-CN"/>
        </w:rPr>
      </w:pPr>
    </w:p>
    <w:p w14:paraId="41E754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highlight w:val="none"/>
          <w:lang w:val="en-US" w:eastAsia="zh-CN"/>
        </w:rPr>
      </w:pPr>
      <w:r>
        <w:rPr>
          <w:rFonts w:hint="eastAsia"/>
          <w:b/>
          <w:bCs/>
          <w:sz w:val="28"/>
          <w:szCs w:val="28"/>
          <w:highlight w:val="none"/>
          <w:lang w:val="en-US" w:eastAsia="zh-CN"/>
        </w:rPr>
        <w:t>一、任务来源</w:t>
      </w:r>
    </w:p>
    <w:p w14:paraId="05240D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szCs w:val="24"/>
          <w:lang w:val="en-US" w:eastAsia="zh-CN"/>
        </w:rPr>
      </w:pPr>
      <w:r>
        <w:rPr>
          <w:rFonts w:hint="eastAsia"/>
          <w:sz w:val="24"/>
          <w:szCs w:val="24"/>
          <w:lang w:val="en-US" w:eastAsia="zh-CN"/>
        </w:rPr>
        <w:t>根据2024年国家计量技术法规制修订计划立项，由中国计量科学研究院承担《化学气相沉积法（CVD）制备的铜箔衬底上石墨烯薄膜完整度测试技术规范》的制定工作。</w:t>
      </w:r>
    </w:p>
    <w:p w14:paraId="6749919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8"/>
          <w:szCs w:val="28"/>
          <w:highlight w:val="none"/>
          <w:lang w:val="en-US" w:eastAsia="zh-CN"/>
        </w:rPr>
      </w:pPr>
      <w:r>
        <w:rPr>
          <w:rFonts w:hint="eastAsia"/>
          <w:b/>
          <w:bCs/>
          <w:sz w:val="28"/>
          <w:szCs w:val="28"/>
          <w:highlight w:val="none"/>
          <w:lang w:val="en-US" w:eastAsia="zh-CN"/>
        </w:rPr>
        <w:t>二、制定的意义</w:t>
      </w:r>
    </w:p>
    <w:p w14:paraId="5E9F78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化学气相沉积法（CVD）制备的铜箔衬底上石墨烯薄膜完整度是指石墨烯在铜箔衬底表面覆盖的百分比。石墨烯薄膜完整度是衡量其质量、决定其最终应用性能的核心指标。对其准确测量和规范测量具有极其重大的意义</w:t>
      </w:r>
    </w:p>
    <w:p w14:paraId="1022A5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我国目前有的关于石墨烯覆盖度的标准为DB32/T 3459-2018《石墨烯薄膜微区覆盖度测试 扫描电子显微镜法》，电子显微镜法制样和测试过程相对光学显微镜法复杂，采用光学显微镜能够快速无损进行测试，从而满足石墨烯产业的需求。</w:t>
      </w:r>
    </w:p>
    <w:p w14:paraId="03C597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本技术规范的制定为化学气相沉积法（CVD）制备的铜箔衬底上石墨烯薄膜完整度的准确测量提供技术保障，是推动整个石墨烯产业从实验室走向规模化、商业化应用的关键基石。</w:t>
      </w:r>
    </w:p>
    <w:p w14:paraId="46C37E0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8"/>
          <w:szCs w:val="28"/>
          <w:highlight w:val="none"/>
          <w:lang w:val="en-US" w:eastAsia="zh-CN"/>
        </w:rPr>
      </w:pPr>
      <w:r>
        <w:rPr>
          <w:rFonts w:hint="eastAsia"/>
          <w:b/>
          <w:bCs/>
          <w:sz w:val="28"/>
          <w:szCs w:val="28"/>
          <w:highlight w:val="none"/>
          <w:lang w:val="en-US" w:eastAsia="zh-CN"/>
        </w:rPr>
        <w:t>三、编写格式</w:t>
      </w:r>
    </w:p>
    <w:p w14:paraId="3A85B9D0">
      <w:pPr>
        <w:spacing w:line="360" w:lineRule="auto"/>
        <w:ind w:firstLine="480" w:firstLineChars="200"/>
        <w:rPr>
          <w:rFonts w:hint="default"/>
          <w:sz w:val="24"/>
          <w:szCs w:val="24"/>
          <w:lang w:val="en-US" w:eastAsia="zh-CN"/>
        </w:rPr>
      </w:pPr>
      <w:r>
        <w:rPr>
          <w:rFonts w:hint="eastAsia"/>
          <w:sz w:val="24"/>
          <w:szCs w:val="24"/>
          <w:lang w:val="en-US" w:eastAsia="zh-CN"/>
        </w:rPr>
        <w:t>编写格式按照JJF 1071-2010《国家计量校准规范》中的相关要求进行编写。</w:t>
      </w:r>
    </w:p>
    <w:p w14:paraId="20F25F71">
      <w:pPr>
        <w:spacing w:line="360" w:lineRule="auto"/>
        <w:rPr>
          <w:rFonts w:hint="default" w:eastAsia="宋体"/>
          <w:b/>
          <w:bCs/>
          <w:sz w:val="28"/>
          <w:szCs w:val="28"/>
          <w:highlight w:val="none"/>
          <w:lang w:val="en-US" w:eastAsia="zh-CN"/>
        </w:rPr>
      </w:pPr>
      <w:r>
        <w:rPr>
          <w:rFonts w:hint="eastAsia"/>
          <w:b/>
          <w:bCs/>
          <w:sz w:val="28"/>
          <w:szCs w:val="28"/>
          <w:highlight w:val="none"/>
          <w:lang w:val="en-US" w:eastAsia="zh-CN"/>
        </w:rPr>
        <w:t>四、编写过程</w:t>
      </w:r>
    </w:p>
    <w:p w14:paraId="1FB471D8">
      <w:pPr>
        <w:spacing w:line="360" w:lineRule="auto"/>
        <w:ind w:firstLine="480" w:firstLineChars="200"/>
        <w:rPr>
          <w:rFonts w:hint="eastAsia"/>
          <w:sz w:val="24"/>
          <w:highlight w:val="none"/>
          <w:lang w:val="en-US" w:eastAsia="zh-CN"/>
        </w:rPr>
      </w:pPr>
      <w:r>
        <w:rPr>
          <w:rFonts w:hint="eastAsia"/>
          <w:sz w:val="24"/>
          <w:highlight w:val="none"/>
          <w:lang w:val="en-US" w:eastAsia="zh-CN"/>
        </w:rPr>
        <w:t>2024年8月下达《2024年国家计量技术规范制定、修订及宣贯计划》的通知。</w:t>
      </w:r>
    </w:p>
    <w:p w14:paraId="5A92BB2E">
      <w:pPr>
        <w:spacing w:line="360" w:lineRule="auto"/>
        <w:ind w:firstLine="480" w:firstLineChars="200"/>
        <w:rPr>
          <w:rFonts w:hint="eastAsia"/>
          <w:sz w:val="24"/>
          <w:highlight w:val="none"/>
          <w:lang w:val="en-US" w:eastAsia="zh-CN"/>
        </w:rPr>
      </w:pPr>
      <w:r>
        <w:rPr>
          <w:rFonts w:hint="eastAsia"/>
          <w:sz w:val="24"/>
          <w:highlight w:val="none"/>
          <w:lang w:val="en-US" w:eastAsia="zh-CN"/>
        </w:rPr>
        <w:t>2024年8月-9月，通过调研化学气相沉积法（CVD）制备的铜箔衬底上石墨烯薄膜的样品预处理与制备方法，做到科学合理，并开展相关实验。</w:t>
      </w:r>
    </w:p>
    <w:p w14:paraId="06C7D225">
      <w:pPr>
        <w:spacing w:line="360" w:lineRule="auto"/>
        <w:ind w:firstLine="480" w:firstLineChars="200"/>
        <w:rPr>
          <w:rFonts w:hint="eastAsia"/>
          <w:sz w:val="24"/>
          <w:highlight w:val="none"/>
          <w:lang w:val="en-US" w:eastAsia="zh-CN"/>
        </w:rPr>
      </w:pPr>
      <w:r>
        <w:rPr>
          <w:rFonts w:hint="eastAsia"/>
          <w:sz w:val="24"/>
          <w:highlight w:val="none"/>
          <w:lang w:val="en-US" w:eastAsia="zh-CN"/>
        </w:rPr>
        <w:t>2024年10月-12月，通过实验确定化学气相沉积法（CVD）制备的铜箔衬底上石墨烯薄膜完整度的测试方法</w:t>
      </w:r>
      <w:bookmarkStart w:id="3" w:name="_GoBack"/>
      <w:bookmarkEnd w:id="3"/>
      <w:r>
        <w:rPr>
          <w:rFonts w:hint="eastAsia"/>
          <w:sz w:val="24"/>
          <w:highlight w:val="none"/>
          <w:lang w:val="en-US" w:eastAsia="zh-CN"/>
        </w:rPr>
        <w:t>。</w:t>
      </w:r>
    </w:p>
    <w:p w14:paraId="25DC8436">
      <w:pPr>
        <w:spacing w:line="360" w:lineRule="auto"/>
        <w:ind w:firstLine="480" w:firstLineChars="200"/>
        <w:rPr>
          <w:rFonts w:hint="default"/>
          <w:sz w:val="24"/>
          <w:highlight w:val="none"/>
          <w:lang w:val="en-US" w:eastAsia="zh-CN"/>
        </w:rPr>
      </w:pPr>
      <w:r>
        <w:rPr>
          <w:rFonts w:hint="eastAsia"/>
          <w:sz w:val="24"/>
          <w:highlight w:val="none"/>
          <w:lang w:val="en-US" w:eastAsia="zh-CN"/>
        </w:rPr>
        <w:t>2025年1月-3月，</w:t>
      </w:r>
      <w:r>
        <w:rPr>
          <w:rFonts w:hint="eastAsia"/>
          <w:sz w:val="24"/>
          <w:szCs w:val="24"/>
          <w:lang w:val="en-US" w:eastAsia="zh-CN"/>
        </w:rPr>
        <w:t>进一步进行测试方法的实验，完善测试方法。</w:t>
      </w:r>
    </w:p>
    <w:p w14:paraId="63BABB18">
      <w:pPr>
        <w:spacing w:line="360" w:lineRule="auto"/>
        <w:ind w:firstLine="480" w:firstLineChars="200"/>
        <w:rPr>
          <w:rFonts w:hint="default"/>
          <w:sz w:val="24"/>
          <w:highlight w:val="none"/>
          <w:lang w:val="en-US" w:eastAsia="zh-CN"/>
        </w:rPr>
      </w:pPr>
      <w:r>
        <w:rPr>
          <w:rFonts w:hint="eastAsia"/>
          <w:sz w:val="24"/>
          <w:highlight w:val="none"/>
          <w:lang w:val="en-US" w:eastAsia="zh-CN"/>
        </w:rPr>
        <w:t>2025年4月-6月，</w:t>
      </w:r>
      <w:r>
        <w:rPr>
          <w:rFonts w:hint="eastAsia"/>
          <w:sz w:val="24"/>
          <w:szCs w:val="24"/>
          <w:lang w:val="en-US" w:eastAsia="zh-CN"/>
        </w:rPr>
        <w:t>技术规范草案稿的编写，进行不确定度评定。</w:t>
      </w:r>
    </w:p>
    <w:p w14:paraId="3BBBF5B7">
      <w:pPr>
        <w:spacing w:line="360" w:lineRule="auto"/>
        <w:ind w:firstLine="480" w:firstLineChars="200"/>
        <w:rPr>
          <w:rFonts w:hint="eastAsia"/>
          <w:sz w:val="24"/>
          <w:szCs w:val="24"/>
          <w:lang w:val="en-US" w:eastAsia="zh-CN"/>
        </w:rPr>
      </w:pPr>
      <w:r>
        <w:rPr>
          <w:rFonts w:hint="eastAsia"/>
          <w:sz w:val="24"/>
          <w:highlight w:val="none"/>
          <w:lang w:val="en-US" w:eastAsia="zh-CN"/>
        </w:rPr>
        <w:t>2025年7月-8月，</w:t>
      </w:r>
      <w:r>
        <w:rPr>
          <w:rFonts w:hint="eastAsia"/>
          <w:sz w:val="24"/>
          <w:szCs w:val="24"/>
          <w:lang w:val="en-US" w:eastAsia="zh-CN"/>
        </w:rPr>
        <w:t>技术规范草案稿的修改和完善，完成实验报告、不确定度评定报告和编制说明。</w:t>
      </w:r>
    </w:p>
    <w:p w14:paraId="7091735E">
      <w:pPr>
        <w:spacing w:line="360" w:lineRule="auto"/>
        <w:ind w:firstLine="480" w:firstLineChars="200"/>
        <w:rPr>
          <w:rFonts w:hint="default"/>
          <w:sz w:val="24"/>
          <w:highlight w:val="none"/>
          <w:lang w:val="en-US" w:eastAsia="zh-CN"/>
        </w:rPr>
      </w:pPr>
      <w:r>
        <w:rPr>
          <w:rFonts w:hint="eastAsia"/>
          <w:sz w:val="24"/>
          <w:highlight w:val="none"/>
          <w:lang w:val="en-US" w:eastAsia="zh-CN"/>
        </w:rPr>
        <w:t>2025年9月，</w:t>
      </w:r>
      <w:r>
        <w:rPr>
          <w:rFonts w:hint="eastAsia"/>
          <w:sz w:val="24"/>
          <w:szCs w:val="24"/>
          <w:lang w:val="en-US" w:eastAsia="zh-CN"/>
        </w:rPr>
        <w:t>规范形成送审稿，送审并征求意见。</w:t>
      </w:r>
    </w:p>
    <w:p w14:paraId="34DBFF9C">
      <w:pPr>
        <w:spacing w:line="360" w:lineRule="auto"/>
        <w:ind w:firstLine="480" w:firstLineChars="200"/>
        <w:rPr>
          <w:rFonts w:hint="eastAsia"/>
          <w:sz w:val="24"/>
          <w:szCs w:val="24"/>
          <w:lang w:val="en-US" w:eastAsia="zh-CN"/>
        </w:rPr>
      </w:pPr>
      <w:r>
        <w:rPr>
          <w:rFonts w:hint="eastAsia"/>
          <w:sz w:val="24"/>
          <w:highlight w:val="none"/>
          <w:lang w:val="en-US" w:eastAsia="zh-CN"/>
        </w:rPr>
        <w:t>2025年11月，</w:t>
      </w:r>
      <w:r>
        <w:rPr>
          <w:rFonts w:hint="eastAsia"/>
          <w:sz w:val="24"/>
          <w:szCs w:val="24"/>
          <w:lang w:val="en-US" w:eastAsia="zh-CN"/>
        </w:rPr>
        <w:t>召开技术规范审定会。</w:t>
      </w:r>
    </w:p>
    <w:p w14:paraId="46A9F7C2">
      <w:pPr>
        <w:spacing w:line="360" w:lineRule="auto"/>
        <w:ind w:firstLine="480" w:firstLineChars="200"/>
        <w:rPr>
          <w:rFonts w:hint="eastAsia"/>
          <w:sz w:val="24"/>
          <w:szCs w:val="24"/>
          <w:lang w:val="en-US" w:eastAsia="zh-CN"/>
        </w:rPr>
      </w:pPr>
      <w:r>
        <w:rPr>
          <w:rFonts w:hint="eastAsia"/>
          <w:sz w:val="24"/>
          <w:highlight w:val="none"/>
          <w:lang w:val="en-US" w:eastAsia="zh-CN"/>
        </w:rPr>
        <w:t>2025年12月，</w:t>
      </w:r>
      <w:r>
        <w:rPr>
          <w:rFonts w:hint="eastAsia"/>
          <w:sz w:val="24"/>
          <w:szCs w:val="24"/>
          <w:lang w:val="en-US" w:eastAsia="zh-CN"/>
        </w:rPr>
        <w:t>修改技术规范，形成报批稿。</w:t>
      </w:r>
    </w:p>
    <w:p w14:paraId="1AB40F68">
      <w:pPr>
        <w:spacing w:line="360" w:lineRule="auto"/>
        <w:rPr>
          <w:rFonts w:hint="default" w:eastAsia="宋体"/>
          <w:b/>
          <w:bCs/>
          <w:sz w:val="28"/>
          <w:szCs w:val="28"/>
          <w:highlight w:val="none"/>
          <w:lang w:val="en-US" w:eastAsia="zh-CN"/>
        </w:rPr>
      </w:pPr>
      <w:r>
        <w:rPr>
          <w:rFonts w:hint="eastAsia"/>
          <w:b/>
          <w:bCs/>
          <w:sz w:val="28"/>
          <w:szCs w:val="28"/>
          <w:highlight w:val="none"/>
          <w:lang w:val="en-US" w:eastAsia="zh-CN"/>
        </w:rPr>
        <w:t>五</w:t>
      </w:r>
      <w:r>
        <w:rPr>
          <w:rFonts w:hint="eastAsia"/>
          <w:b/>
          <w:bCs/>
          <w:sz w:val="28"/>
          <w:szCs w:val="28"/>
          <w:highlight w:val="none"/>
          <w:lang w:eastAsia="zh-CN"/>
        </w:rPr>
        <w:t>、</w:t>
      </w:r>
      <w:r>
        <w:rPr>
          <w:rFonts w:hint="eastAsia"/>
          <w:b/>
          <w:bCs/>
          <w:sz w:val="28"/>
          <w:szCs w:val="28"/>
          <w:highlight w:val="none"/>
          <w:lang w:val="en-US" w:eastAsia="zh-CN"/>
        </w:rPr>
        <w:t>制定的依据</w:t>
      </w:r>
    </w:p>
    <w:p w14:paraId="75C78212">
      <w:pPr>
        <w:spacing w:line="360" w:lineRule="auto"/>
        <w:ind w:firstLine="480"/>
        <w:rPr>
          <w:rFonts w:hint="eastAsia"/>
          <w:bCs/>
          <w:sz w:val="24"/>
          <w:highlight w:val="none"/>
        </w:rPr>
      </w:pPr>
      <w:r>
        <w:rPr>
          <w:rFonts w:hint="eastAsia"/>
          <w:bCs/>
          <w:sz w:val="24"/>
          <w:highlight w:val="none"/>
        </w:rPr>
        <w:t>JJF 1071</w:t>
      </w:r>
      <w:r>
        <w:rPr>
          <w:rFonts w:hint="eastAsia"/>
          <w:sz w:val="24"/>
          <w:szCs w:val="24"/>
          <w:highlight w:val="none"/>
        </w:rPr>
        <w:t xml:space="preserve">-2010 </w:t>
      </w:r>
      <w:r>
        <w:rPr>
          <w:rFonts w:hint="eastAsia"/>
          <w:sz w:val="24"/>
          <w:szCs w:val="24"/>
          <w:highlight w:val="none"/>
          <w:lang w:eastAsia="zh-CN"/>
        </w:rPr>
        <w:t>《</w:t>
      </w:r>
      <w:r>
        <w:rPr>
          <w:rFonts w:hint="eastAsia"/>
          <w:bCs/>
          <w:sz w:val="24"/>
          <w:highlight w:val="none"/>
        </w:rPr>
        <w:t>国家计量校准规范编写规则</w:t>
      </w:r>
      <w:r>
        <w:rPr>
          <w:rFonts w:hint="eastAsia"/>
          <w:sz w:val="24"/>
          <w:szCs w:val="24"/>
          <w:highlight w:val="none"/>
          <w:lang w:eastAsia="zh-CN"/>
        </w:rPr>
        <w:t>》</w:t>
      </w:r>
    </w:p>
    <w:p w14:paraId="55B4BD57">
      <w:pPr>
        <w:spacing w:line="360" w:lineRule="auto"/>
        <w:ind w:firstLine="480"/>
        <w:rPr>
          <w:rFonts w:hint="eastAsia"/>
          <w:bCs/>
          <w:sz w:val="24"/>
          <w:highlight w:val="none"/>
        </w:rPr>
      </w:pPr>
      <w:r>
        <w:rPr>
          <w:sz w:val="24"/>
        </w:rPr>
        <w:t>JJF</w:t>
      </w:r>
      <w:r>
        <w:rPr>
          <w:rFonts w:hint="eastAsia"/>
          <w:sz w:val="24"/>
        </w:rPr>
        <w:t xml:space="preserve"> </w:t>
      </w:r>
      <w:r>
        <w:rPr>
          <w:sz w:val="24"/>
        </w:rPr>
        <w:t>1001</w:t>
      </w:r>
      <w:r>
        <w:rPr>
          <w:rFonts w:hint="eastAsia"/>
          <w:sz w:val="24"/>
          <w:lang w:val="en-US" w:eastAsia="zh-CN"/>
        </w:rPr>
        <w:t>-2011 《</w:t>
      </w:r>
      <w:r>
        <w:rPr>
          <w:sz w:val="24"/>
        </w:rPr>
        <w:t>通用计量术语及定义</w:t>
      </w:r>
      <w:r>
        <w:rPr>
          <w:rFonts w:hint="eastAsia"/>
          <w:sz w:val="24"/>
          <w:lang w:val="en-US" w:eastAsia="zh-CN"/>
        </w:rPr>
        <w:t>》</w:t>
      </w:r>
    </w:p>
    <w:p w14:paraId="4FF013EA">
      <w:pPr>
        <w:spacing w:line="360" w:lineRule="auto"/>
        <w:ind w:firstLine="480"/>
        <w:rPr>
          <w:rFonts w:hAnsi="宋体"/>
          <w:color w:val="000000"/>
          <w:sz w:val="24"/>
        </w:rPr>
      </w:pPr>
      <w:r>
        <w:rPr>
          <w:rFonts w:hint="eastAsia" w:hAnsi="宋体"/>
          <w:color w:val="000000"/>
          <w:sz w:val="24"/>
        </w:rPr>
        <w:t>JJF 1059.1</w:t>
      </w:r>
      <w:r>
        <w:rPr>
          <w:rFonts w:hint="eastAsia" w:hAnsi="宋体"/>
          <w:color w:val="000000"/>
          <w:sz w:val="24"/>
          <w:lang w:val="en-US" w:eastAsia="zh-CN"/>
        </w:rPr>
        <w:t>-2012 《</w:t>
      </w:r>
      <w:r>
        <w:rPr>
          <w:rFonts w:hAnsi="宋体"/>
          <w:color w:val="000000"/>
          <w:sz w:val="24"/>
        </w:rPr>
        <w:t>测量不确定度评定与表示</w:t>
      </w:r>
      <w:r>
        <w:rPr>
          <w:rFonts w:hint="eastAsia" w:hAnsi="宋体"/>
          <w:color w:val="000000"/>
          <w:sz w:val="24"/>
          <w:lang w:val="en-US" w:eastAsia="zh-CN"/>
        </w:rPr>
        <w:t>》</w:t>
      </w:r>
    </w:p>
    <w:p w14:paraId="56C43414">
      <w:pPr>
        <w:spacing w:line="360" w:lineRule="auto"/>
        <w:ind w:firstLine="480"/>
        <w:rPr>
          <w:rFonts w:hAnsi="宋体"/>
          <w:color w:val="000000"/>
          <w:sz w:val="24"/>
        </w:rPr>
      </w:pPr>
      <w:r>
        <w:rPr>
          <w:rFonts w:hint="eastAsia" w:hAnsi="宋体"/>
          <w:color w:val="000000"/>
          <w:sz w:val="24"/>
        </w:rPr>
        <w:t>JJF 1094</w:t>
      </w:r>
      <w:r>
        <w:rPr>
          <w:rFonts w:hint="eastAsia" w:hAnsi="宋体"/>
          <w:color w:val="000000"/>
          <w:sz w:val="24"/>
          <w:lang w:val="en-US" w:eastAsia="zh-CN"/>
        </w:rPr>
        <w:t>-2002 《</w:t>
      </w:r>
      <w:r>
        <w:rPr>
          <w:rFonts w:hAnsi="宋体"/>
          <w:color w:val="000000"/>
          <w:sz w:val="24"/>
        </w:rPr>
        <w:t>测量仪器特性评定</w:t>
      </w:r>
      <w:r>
        <w:rPr>
          <w:rFonts w:hint="eastAsia" w:hAnsi="宋体"/>
          <w:color w:val="000000"/>
          <w:sz w:val="24"/>
          <w:lang w:val="en-US" w:eastAsia="zh-CN"/>
        </w:rPr>
        <w:t>》</w:t>
      </w:r>
    </w:p>
    <w:p w14:paraId="4308BB3D">
      <w:pPr>
        <w:numPr>
          <w:ilvl w:val="0"/>
          <w:numId w:val="0"/>
        </w:numPr>
        <w:spacing w:line="360" w:lineRule="auto"/>
        <w:ind w:firstLine="480" w:firstLineChars="200"/>
        <w:rPr>
          <w:rFonts w:hint="eastAsia"/>
          <w:sz w:val="24"/>
          <w:highlight w:val="none"/>
          <w:lang w:val="en-US" w:eastAsia="zh-CN"/>
        </w:rPr>
      </w:pPr>
      <w:r>
        <w:rPr>
          <w:rFonts w:hint="eastAsia"/>
          <w:sz w:val="24"/>
          <w:highlight w:val="none"/>
          <w:lang w:val="en-US" w:eastAsia="zh-CN"/>
        </w:rPr>
        <w:t>JJF 1402-2013《生物显微镜校准规范》</w:t>
      </w:r>
    </w:p>
    <w:p w14:paraId="64363AEE">
      <w:pPr>
        <w:numPr>
          <w:ilvl w:val="0"/>
          <w:numId w:val="0"/>
        </w:numPr>
        <w:spacing w:line="360" w:lineRule="auto"/>
        <w:ind w:firstLine="480" w:firstLineChars="200"/>
        <w:rPr>
          <w:rFonts w:hint="eastAsia"/>
          <w:sz w:val="24"/>
          <w:highlight w:val="none"/>
          <w:lang w:val="en-US" w:eastAsia="zh-CN"/>
        </w:rPr>
      </w:pPr>
      <w:r>
        <w:rPr>
          <w:rFonts w:hint="eastAsia"/>
          <w:sz w:val="24"/>
          <w:highlight w:val="none"/>
          <w:lang w:val="en-US" w:eastAsia="zh-CN"/>
        </w:rPr>
        <w:t>DB32/T 3459-2018《石墨烯薄膜微区覆盖度测试 扫描电子显微镜法》</w:t>
      </w:r>
    </w:p>
    <w:p w14:paraId="584EAB67">
      <w:pPr>
        <w:numPr>
          <w:ilvl w:val="0"/>
          <w:numId w:val="0"/>
        </w:numPr>
        <w:spacing w:line="360" w:lineRule="auto"/>
        <w:rPr>
          <w:rFonts w:hint="eastAsia"/>
          <w:b/>
          <w:bCs/>
          <w:sz w:val="28"/>
          <w:szCs w:val="28"/>
          <w:highlight w:val="none"/>
          <w:lang w:val="en-US" w:eastAsia="zh-CN"/>
        </w:rPr>
      </w:pPr>
      <w:r>
        <w:rPr>
          <w:rFonts w:hint="eastAsia"/>
          <w:b/>
          <w:bCs/>
          <w:sz w:val="28"/>
          <w:szCs w:val="28"/>
          <w:highlight w:val="none"/>
          <w:lang w:val="en-US" w:eastAsia="zh-CN"/>
        </w:rPr>
        <w:t>六、规范的主要内容</w:t>
      </w:r>
    </w:p>
    <w:p w14:paraId="3FDFB566">
      <w:pPr>
        <w:numPr>
          <w:ilvl w:val="0"/>
          <w:numId w:val="1"/>
        </w:numPr>
        <w:spacing w:line="360" w:lineRule="auto"/>
        <w:rPr>
          <w:rFonts w:hint="eastAsia"/>
          <w:sz w:val="24"/>
          <w:highlight w:val="none"/>
          <w:lang w:val="en-US" w:eastAsia="zh-CN"/>
        </w:rPr>
      </w:pPr>
      <w:r>
        <w:rPr>
          <w:rFonts w:hint="eastAsia"/>
          <w:sz w:val="24"/>
          <w:highlight w:val="none"/>
          <w:lang w:val="en-US" w:eastAsia="zh-CN"/>
        </w:rPr>
        <w:t>关于范围</w:t>
      </w:r>
    </w:p>
    <w:p w14:paraId="0655DE1C">
      <w:pPr>
        <w:numPr>
          <w:ilvl w:val="0"/>
          <w:numId w:val="0"/>
        </w:numPr>
        <w:spacing w:line="360" w:lineRule="auto"/>
        <w:ind w:firstLine="480" w:firstLineChars="200"/>
        <w:rPr>
          <w:rFonts w:hint="eastAsia"/>
          <w:sz w:val="24"/>
          <w:highlight w:val="none"/>
          <w:lang w:val="en-US" w:eastAsia="zh-CN"/>
        </w:rPr>
      </w:pPr>
      <w:r>
        <w:rPr>
          <w:rFonts w:hint="eastAsia"/>
          <w:sz w:val="24"/>
          <w:highlight w:val="none"/>
          <w:lang w:val="en-US" w:eastAsia="zh-CN"/>
        </w:rPr>
        <w:t>本规范适用于材料荧光特性测量的校准，主要用于荧光发射光谱的校准。</w:t>
      </w:r>
    </w:p>
    <w:p w14:paraId="08C1A95F">
      <w:pPr>
        <w:numPr>
          <w:ilvl w:val="0"/>
          <w:numId w:val="1"/>
        </w:numPr>
        <w:spacing w:line="360" w:lineRule="auto"/>
        <w:rPr>
          <w:rFonts w:hint="default"/>
          <w:sz w:val="24"/>
          <w:highlight w:val="none"/>
          <w:lang w:val="en-US" w:eastAsia="zh-CN"/>
        </w:rPr>
      </w:pPr>
      <w:r>
        <w:rPr>
          <w:rFonts w:hint="eastAsia"/>
          <w:sz w:val="24"/>
          <w:highlight w:val="none"/>
          <w:lang w:val="en-US" w:eastAsia="zh-CN"/>
        </w:rPr>
        <w:t>关于计量特性</w:t>
      </w:r>
    </w:p>
    <w:p w14:paraId="162CFF61">
      <w:pPr>
        <w:numPr>
          <w:ilvl w:val="0"/>
          <w:numId w:val="0"/>
        </w:numPr>
        <w:spacing w:line="360" w:lineRule="auto"/>
        <w:rPr>
          <w:rFonts w:hint="eastAsia"/>
          <w:sz w:val="24"/>
          <w:highlight w:val="none"/>
          <w:lang w:val="en-US" w:eastAsia="zh-CN"/>
        </w:rPr>
      </w:pPr>
      <w:r>
        <w:rPr>
          <w:rFonts w:hint="eastAsia"/>
          <w:sz w:val="24"/>
          <w:highlight w:val="none"/>
          <w:lang w:val="en-US" w:eastAsia="zh-CN"/>
        </w:rPr>
        <w:t xml:space="preserve">   计量特性包括：荧光相对强度校准曲线、荧光相对强度测量重复性、荧光发射光谱峰值波长的测量重复性。</w:t>
      </w:r>
    </w:p>
    <w:p w14:paraId="5BE20B1E">
      <w:pPr>
        <w:numPr>
          <w:ilvl w:val="0"/>
          <w:numId w:val="1"/>
        </w:numPr>
        <w:spacing w:line="360" w:lineRule="auto"/>
        <w:rPr>
          <w:rFonts w:hint="default"/>
          <w:sz w:val="24"/>
          <w:highlight w:val="none"/>
          <w:lang w:val="en-US" w:eastAsia="zh-CN"/>
        </w:rPr>
      </w:pPr>
      <w:r>
        <w:rPr>
          <w:rFonts w:hint="eastAsia"/>
          <w:sz w:val="24"/>
          <w:highlight w:val="none"/>
          <w:lang w:val="en-US" w:eastAsia="zh-CN"/>
        </w:rPr>
        <w:t>关于校准条件</w:t>
      </w:r>
    </w:p>
    <w:p w14:paraId="720A4A93">
      <w:pPr>
        <w:numPr>
          <w:ilvl w:val="0"/>
          <w:numId w:val="0"/>
        </w:numPr>
        <w:spacing w:line="360" w:lineRule="auto"/>
        <w:rPr>
          <w:rFonts w:hint="eastAsia" w:eastAsia="宋体"/>
          <w:sz w:val="24"/>
          <w:highlight w:val="none"/>
          <w:lang w:val="en-US" w:eastAsia="zh-CN"/>
        </w:rPr>
      </w:pPr>
      <w:r>
        <w:rPr>
          <w:rFonts w:hint="eastAsia"/>
          <w:sz w:val="24"/>
          <w:highlight w:val="none"/>
          <w:lang w:val="en-US" w:eastAsia="zh-CN"/>
        </w:rPr>
        <w:t xml:space="preserve">   包括</w:t>
      </w:r>
      <w:r>
        <w:rPr>
          <w:rFonts w:hint="eastAsia"/>
          <w:sz w:val="24"/>
          <w:szCs w:val="24"/>
          <w:highlight w:val="none"/>
        </w:rPr>
        <w:t>校准环境条件</w:t>
      </w:r>
      <w:r>
        <w:rPr>
          <w:rFonts w:hint="eastAsia"/>
          <w:sz w:val="24"/>
          <w:szCs w:val="24"/>
          <w:highlight w:val="none"/>
          <w:lang w:val="en-US" w:eastAsia="zh-CN"/>
        </w:rPr>
        <w:t>、</w:t>
      </w:r>
      <w:r>
        <w:rPr>
          <w:rFonts w:hint="eastAsia" w:ascii="宋体"/>
          <w:sz w:val="24"/>
          <w:szCs w:val="24"/>
          <w:highlight w:val="none"/>
        </w:rPr>
        <w:t>测量标准及其他设备</w:t>
      </w:r>
      <w:r>
        <w:rPr>
          <w:rFonts w:hint="eastAsia" w:ascii="宋体"/>
          <w:sz w:val="24"/>
          <w:szCs w:val="24"/>
          <w:highlight w:val="none"/>
          <w:lang w:eastAsia="zh-CN"/>
        </w:rPr>
        <w:t>。</w:t>
      </w:r>
    </w:p>
    <w:p w14:paraId="5EF76ED6">
      <w:pPr>
        <w:numPr>
          <w:ilvl w:val="0"/>
          <w:numId w:val="1"/>
        </w:numPr>
        <w:spacing w:line="360" w:lineRule="auto"/>
        <w:rPr>
          <w:rFonts w:hint="default"/>
          <w:sz w:val="24"/>
          <w:highlight w:val="none"/>
          <w:lang w:val="en-US" w:eastAsia="zh-CN"/>
        </w:rPr>
      </w:pPr>
      <w:r>
        <w:rPr>
          <w:rFonts w:hint="eastAsia"/>
          <w:sz w:val="24"/>
          <w:highlight w:val="none"/>
          <w:lang w:val="en-US" w:eastAsia="zh-CN"/>
        </w:rPr>
        <w:t>关于校准方法</w:t>
      </w:r>
    </w:p>
    <w:p w14:paraId="199D3E04">
      <w:pPr>
        <w:numPr>
          <w:ilvl w:val="0"/>
          <w:numId w:val="0"/>
        </w:numPr>
        <w:spacing w:line="360" w:lineRule="auto"/>
        <w:ind w:firstLine="480"/>
        <w:rPr>
          <w:rFonts w:hint="eastAsia"/>
          <w:sz w:val="24"/>
          <w:highlight w:val="none"/>
          <w:lang w:val="en-US" w:eastAsia="zh-CN"/>
        </w:rPr>
      </w:pPr>
      <w:r>
        <w:rPr>
          <w:rFonts w:hint="eastAsia"/>
          <w:sz w:val="24"/>
          <w:highlight w:val="none"/>
        </w:rPr>
        <w:t>校准前准备</w:t>
      </w:r>
      <w:r>
        <w:rPr>
          <w:rFonts w:hint="eastAsia"/>
          <w:sz w:val="24"/>
          <w:highlight w:val="none"/>
          <w:lang w:val="en-US" w:eastAsia="zh-CN"/>
        </w:rPr>
        <w:t>需要将荧光光谱仪的光源进行预热。</w:t>
      </w:r>
    </w:p>
    <w:p w14:paraId="50C3111A">
      <w:pPr>
        <w:numPr>
          <w:ilvl w:val="0"/>
          <w:numId w:val="0"/>
        </w:numPr>
        <w:spacing w:line="360" w:lineRule="auto"/>
        <w:ind w:firstLine="480"/>
        <w:rPr>
          <w:rFonts w:hint="default" w:eastAsia="宋体"/>
          <w:sz w:val="24"/>
          <w:highlight w:val="none"/>
          <w:lang w:val="en-US" w:eastAsia="zh-CN"/>
        </w:rPr>
      </w:pPr>
      <w:r>
        <w:rPr>
          <w:rFonts w:hint="eastAsia"/>
          <w:sz w:val="24"/>
          <w:highlight w:val="none"/>
          <w:lang w:val="en-US" w:eastAsia="zh-CN"/>
        </w:rPr>
        <w:t>采用标准汞氩灯对</w:t>
      </w:r>
      <w:r>
        <w:rPr>
          <w:rFonts w:hint="eastAsia"/>
          <w:sz w:val="24"/>
          <w:highlight w:val="none"/>
        </w:rPr>
        <w:t>发射侧单色器波长</w:t>
      </w:r>
      <w:r>
        <w:rPr>
          <w:rFonts w:hint="eastAsia"/>
          <w:sz w:val="24"/>
          <w:highlight w:val="none"/>
          <w:lang w:val="en-US" w:eastAsia="zh-CN"/>
        </w:rPr>
        <w:t>进行</w:t>
      </w:r>
      <w:r>
        <w:rPr>
          <w:rFonts w:hint="eastAsia"/>
          <w:sz w:val="24"/>
          <w:highlight w:val="none"/>
        </w:rPr>
        <w:t>校准</w:t>
      </w:r>
      <w:r>
        <w:rPr>
          <w:rFonts w:hint="eastAsia"/>
          <w:sz w:val="24"/>
          <w:highlight w:val="none"/>
          <w:lang w:val="en-US" w:eastAsia="zh-CN"/>
        </w:rPr>
        <w:t>。</w:t>
      </w:r>
    </w:p>
    <w:p w14:paraId="67AEB612">
      <w:pPr>
        <w:numPr>
          <w:ilvl w:val="0"/>
          <w:numId w:val="0"/>
        </w:numPr>
        <w:spacing w:line="360" w:lineRule="auto"/>
        <w:ind w:left="479" w:leftChars="228" w:firstLine="0" w:firstLineChars="0"/>
        <w:rPr>
          <w:rFonts w:hint="default"/>
          <w:sz w:val="24"/>
          <w:highlight w:val="none"/>
          <w:lang w:val="en-US" w:eastAsia="zh-CN"/>
        </w:rPr>
      </w:pPr>
      <w:r>
        <w:rPr>
          <w:rFonts w:hint="eastAsia"/>
          <w:sz w:val="24"/>
          <w:highlight w:val="none"/>
          <w:lang w:val="en-US" w:eastAsia="zh-CN"/>
        </w:rPr>
        <w:t>采用荧光相对强度标准物质的标准光谱除以测量光谱，获得荧光相对强度校准曲线。</w:t>
      </w:r>
      <w:r>
        <w:rPr>
          <w:rFonts w:hint="eastAsia"/>
          <w:sz w:val="24"/>
          <w:szCs w:val="24"/>
        </w:rPr>
        <w:t>采用</w:t>
      </w:r>
      <w:r>
        <w:rPr>
          <w:rFonts w:hint="eastAsia"/>
          <w:sz w:val="24"/>
          <w:szCs w:val="24"/>
          <w:lang w:val="en-US" w:eastAsia="zh-CN"/>
        </w:rPr>
        <w:t>被测荧光材料的测量光谱乘以荧光</w:t>
      </w:r>
      <w:r>
        <w:rPr>
          <w:rFonts w:hint="eastAsia"/>
          <w:sz w:val="24"/>
          <w:highlight w:val="none"/>
          <w:lang w:val="en-US" w:eastAsia="zh-CN"/>
        </w:rPr>
        <w:t>相对强度校准曲线，获得校准后的荧光发射光谱。</w:t>
      </w:r>
    </w:p>
    <w:p w14:paraId="6811153E">
      <w:pPr>
        <w:numPr>
          <w:ilvl w:val="0"/>
          <w:numId w:val="0"/>
        </w:numPr>
        <w:spacing w:line="360" w:lineRule="auto"/>
        <w:ind w:firstLine="480" w:firstLineChars="200"/>
        <w:rPr>
          <w:rFonts w:hint="eastAsia"/>
          <w:sz w:val="24"/>
          <w:highlight w:val="none"/>
          <w:lang w:eastAsia="zh-CN"/>
        </w:rPr>
      </w:pPr>
      <w:r>
        <w:rPr>
          <w:rFonts w:hint="eastAsia"/>
          <w:sz w:val="24"/>
          <w:highlight w:val="none"/>
          <w:lang w:val="en-US" w:eastAsia="zh-CN"/>
        </w:rPr>
        <w:t>不同波长下荧光相对强度的</w:t>
      </w:r>
      <w:r>
        <w:rPr>
          <w:rFonts w:hint="eastAsia"/>
          <w:sz w:val="24"/>
          <w:highlight w:val="none"/>
        </w:rPr>
        <w:t>实验标准差为</w:t>
      </w:r>
      <w:r>
        <w:rPr>
          <w:rFonts w:hint="eastAsia"/>
          <w:sz w:val="24"/>
          <w:highlight w:val="none"/>
          <w:lang w:val="en-US" w:eastAsia="zh-CN"/>
        </w:rPr>
        <w:t>荧光相对强度的</w:t>
      </w:r>
      <w:r>
        <w:rPr>
          <w:rFonts w:hint="eastAsia"/>
          <w:sz w:val="24"/>
          <w:highlight w:val="none"/>
        </w:rPr>
        <w:t>测量重复性</w:t>
      </w:r>
      <w:r>
        <w:rPr>
          <w:rFonts w:hint="eastAsia"/>
          <w:sz w:val="24"/>
          <w:highlight w:val="none"/>
          <w:lang w:eastAsia="zh-CN"/>
        </w:rPr>
        <w:t>。</w:t>
      </w:r>
    </w:p>
    <w:p w14:paraId="2409B1F2">
      <w:pPr>
        <w:numPr>
          <w:ilvl w:val="0"/>
          <w:numId w:val="0"/>
        </w:numPr>
        <w:spacing w:line="360" w:lineRule="auto"/>
        <w:ind w:firstLine="480" w:firstLineChars="200"/>
        <w:rPr>
          <w:rFonts w:hint="default"/>
          <w:sz w:val="24"/>
          <w:highlight w:val="none"/>
          <w:lang w:val="en-US" w:eastAsia="zh-CN"/>
        </w:rPr>
      </w:pPr>
      <w:r>
        <w:rPr>
          <w:rFonts w:hint="eastAsia"/>
          <w:sz w:val="24"/>
          <w:highlight w:val="none"/>
          <w:lang w:val="en-US" w:eastAsia="zh-CN"/>
        </w:rPr>
        <w:t>荧光发射光谱峰值波长</w:t>
      </w:r>
      <w:r>
        <w:rPr>
          <w:rFonts w:hint="eastAsia"/>
          <w:sz w:val="24"/>
          <w:highlight w:val="none"/>
        </w:rPr>
        <w:t>的</w:t>
      </w:r>
      <w:r>
        <w:rPr>
          <w:rFonts w:hint="eastAsia"/>
          <w:sz w:val="24"/>
          <w:highlight w:val="none"/>
          <w:lang w:val="en-US" w:eastAsia="zh-CN"/>
        </w:rPr>
        <w:t>的</w:t>
      </w:r>
      <w:r>
        <w:rPr>
          <w:rFonts w:hint="eastAsia"/>
          <w:sz w:val="24"/>
          <w:highlight w:val="none"/>
        </w:rPr>
        <w:t>实验标准差</w:t>
      </w:r>
      <w:r>
        <w:rPr>
          <w:rFonts w:hint="eastAsia"/>
          <w:sz w:val="24"/>
          <w:highlight w:val="none"/>
          <w:lang w:val="en-US" w:eastAsia="zh-CN"/>
        </w:rPr>
        <w:t>为荧光发射光谱峰值波长的</w:t>
      </w:r>
      <w:r>
        <w:rPr>
          <w:rFonts w:hint="eastAsia"/>
          <w:sz w:val="24"/>
          <w:highlight w:val="none"/>
        </w:rPr>
        <w:t>测量重复性</w:t>
      </w:r>
      <w:r>
        <w:rPr>
          <w:rFonts w:hint="eastAsia"/>
          <w:sz w:val="24"/>
          <w:highlight w:val="none"/>
          <w:lang w:val="en-US" w:eastAsia="zh-CN"/>
        </w:rPr>
        <w:t>。</w:t>
      </w:r>
    </w:p>
    <w:p w14:paraId="30EEE65D">
      <w:pPr>
        <w:numPr>
          <w:ilvl w:val="0"/>
          <w:numId w:val="1"/>
        </w:numPr>
        <w:spacing w:line="360" w:lineRule="auto"/>
        <w:rPr>
          <w:rFonts w:hint="default"/>
          <w:sz w:val="24"/>
          <w:highlight w:val="none"/>
          <w:lang w:val="en-US" w:eastAsia="zh-CN"/>
        </w:rPr>
      </w:pPr>
      <w:r>
        <w:rPr>
          <w:rFonts w:hint="eastAsia"/>
          <w:sz w:val="24"/>
          <w:highlight w:val="none"/>
          <w:lang w:val="en-US" w:eastAsia="zh-CN"/>
        </w:rPr>
        <w:t>关于附录的设置</w:t>
      </w:r>
    </w:p>
    <w:p w14:paraId="0AE7B214">
      <w:pPr>
        <w:numPr>
          <w:ilvl w:val="0"/>
          <w:numId w:val="0"/>
        </w:numPr>
        <w:spacing w:line="360" w:lineRule="auto"/>
        <w:ind w:firstLine="480" w:firstLineChars="200"/>
        <w:rPr>
          <w:rFonts w:hint="default"/>
          <w:sz w:val="24"/>
          <w:highlight w:val="none"/>
          <w:lang w:val="en-US" w:eastAsia="zh-CN"/>
        </w:rPr>
      </w:pPr>
      <w:r>
        <w:rPr>
          <w:rFonts w:hint="eastAsia"/>
          <w:sz w:val="24"/>
          <w:highlight w:val="none"/>
          <w:lang w:val="en-US" w:eastAsia="zh-CN"/>
        </w:rPr>
        <w:t>附录包括三项：</w:t>
      </w:r>
    </w:p>
    <w:p w14:paraId="25C30180">
      <w:pPr>
        <w:pStyle w:val="3"/>
        <w:tabs>
          <w:tab w:val="right" w:leader="dot" w:pos="8844"/>
          <w:tab w:val="clear" w:pos="8834"/>
        </w:tabs>
        <w:ind w:firstLine="480" w:firstLineChars="200"/>
        <w:rPr>
          <w:rFonts w:hint="eastAsia"/>
          <w:sz w:val="24"/>
          <w:szCs w:val="24"/>
          <w:lang w:val="en-US" w:eastAsia="zh-CN"/>
        </w:rPr>
      </w:pPr>
      <w:r>
        <w:rPr>
          <w:sz w:val="24"/>
          <w:szCs w:val="24"/>
        </w:rPr>
        <w:fldChar w:fldCharType="begin"/>
      </w:r>
      <w:r>
        <w:rPr>
          <w:sz w:val="24"/>
          <w:szCs w:val="24"/>
        </w:rPr>
        <w:instrText xml:space="preserve"> HYPERLINK \l _Toc11311 </w:instrText>
      </w:r>
      <w:r>
        <w:rPr>
          <w:sz w:val="24"/>
          <w:szCs w:val="24"/>
        </w:rPr>
        <w:fldChar w:fldCharType="separate"/>
      </w:r>
      <w:r>
        <w:rPr>
          <w:rFonts w:hint="eastAsia"/>
          <w:sz w:val="24"/>
          <w:szCs w:val="24"/>
        </w:rPr>
        <w:t>附录A</w:t>
      </w:r>
      <w:r>
        <w:rPr>
          <w:sz w:val="24"/>
          <w:szCs w:val="24"/>
        </w:rPr>
        <w:fldChar w:fldCharType="end"/>
      </w:r>
      <w:r>
        <w:rPr>
          <w:rFonts w:hint="eastAsia"/>
          <w:sz w:val="24"/>
          <w:szCs w:val="24"/>
          <w:lang w:val="en-US" w:eastAsia="zh-CN"/>
        </w:rPr>
        <w:t xml:space="preserve"> 荧光相对强度标准物质参考目录</w:t>
      </w:r>
    </w:p>
    <w:p w14:paraId="2A978833">
      <w:pPr>
        <w:pStyle w:val="3"/>
        <w:tabs>
          <w:tab w:val="right" w:leader="dot" w:pos="8844"/>
          <w:tab w:val="clear" w:pos="8834"/>
        </w:tabs>
        <w:ind w:firstLine="480" w:firstLineChars="200"/>
        <w:rPr>
          <w:sz w:val="24"/>
          <w:szCs w:val="24"/>
        </w:rPr>
      </w:pPr>
      <w:r>
        <w:rPr>
          <w:rFonts w:hint="eastAsia"/>
          <w:sz w:val="24"/>
          <w:szCs w:val="24"/>
        </w:rPr>
        <w:t>附录B 材料荧光特性校准结果的不确定度评定示例</w:t>
      </w:r>
    </w:p>
    <w:p w14:paraId="669F5BD5">
      <w:pPr>
        <w:pStyle w:val="3"/>
        <w:tabs>
          <w:tab w:val="right" w:leader="dot" w:pos="8844"/>
          <w:tab w:val="clear" w:pos="8834"/>
        </w:tabs>
        <w:ind w:firstLine="480" w:firstLineChars="200"/>
        <w:rPr>
          <w:rFonts w:hint="eastAsia" w:eastAsia="宋体"/>
          <w:sz w:val="24"/>
          <w:szCs w:val="24"/>
          <w:lang w:val="en-US" w:eastAsia="zh-CN"/>
        </w:rPr>
      </w:pPr>
      <w:r>
        <w:rPr>
          <w:sz w:val="24"/>
          <w:szCs w:val="24"/>
        </w:rPr>
        <w:fldChar w:fldCharType="begin"/>
      </w:r>
      <w:r>
        <w:rPr>
          <w:sz w:val="24"/>
          <w:szCs w:val="24"/>
        </w:rPr>
        <w:instrText xml:space="preserve"> HYPERLINK \l _Toc13168 </w:instrText>
      </w:r>
      <w:r>
        <w:rPr>
          <w:sz w:val="24"/>
          <w:szCs w:val="24"/>
        </w:rPr>
        <w:fldChar w:fldCharType="separate"/>
      </w:r>
      <w:r>
        <w:rPr>
          <w:sz w:val="24"/>
          <w:szCs w:val="24"/>
        </w:rPr>
        <w:t>附录</w:t>
      </w:r>
      <w:r>
        <w:rPr>
          <w:rFonts w:hint="eastAsia"/>
          <w:sz w:val="24"/>
          <w:szCs w:val="24"/>
          <w:lang w:val="en-US" w:eastAsia="zh-CN"/>
        </w:rPr>
        <w:t>C</w:t>
      </w:r>
      <w:r>
        <w:rPr>
          <w:sz w:val="24"/>
          <w:szCs w:val="24"/>
        </w:rPr>
        <w:fldChar w:fldCharType="end"/>
      </w:r>
      <w:r>
        <w:rPr>
          <w:rFonts w:hint="eastAsia"/>
          <w:sz w:val="24"/>
          <w:szCs w:val="24"/>
          <w:lang w:val="en-US" w:eastAsia="zh-CN"/>
        </w:rPr>
        <w:t xml:space="preserve"> </w:t>
      </w:r>
      <w:r>
        <w:rPr>
          <w:rFonts w:hint="eastAsia"/>
          <w:sz w:val="24"/>
          <w:szCs w:val="24"/>
        </w:rPr>
        <w:t>校准原始记录格式</w:t>
      </w:r>
    </w:p>
    <w:p w14:paraId="7D70ED23">
      <w:pPr>
        <w:numPr>
          <w:ilvl w:val="0"/>
          <w:numId w:val="0"/>
        </w:numPr>
        <w:spacing w:line="360" w:lineRule="auto"/>
        <w:ind w:firstLine="480" w:firstLineChars="200"/>
        <w:rPr>
          <w:rFonts w:hint="default"/>
          <w:sz w:val="24"/>
          <w:highlight w:val="none"/>
          <w:lang w:val="en-US" w:eastAsia="zh-CN"/>
        </w:rPr>
      </w:pPr>
      <w:r>
        <w:rPr>
          <w:sz w:val="24"/>
          <w:szCs w:val="24"/>
        </w:rPr>
        <w:fldChar w:fldCharType="begin"/>
      </w:r>
      <w:r>
        <w:rPr>
          <w:sz w:val="24"/>
          <w:szCs w:val="24"/>
        </w:rPr>
        <w:instrText xml:space="preserve"> HYPERLINK \l _Toc19104 </w:instrText>
      </w:r>
      <w:r>
        <w:rPr>
          <w:sz w:val="24"/>
          <w:szCs w:val="24"/>
        </w:rPr>
        <w:fldChar w:fldCharType="separate"/>
      </w:r>
      <w:r>
        <w:rPr>
          <w:rFonts w:hint="eastAsia"/>
          <w:sz w:val="24"/>
          <w:szCs w:val="24"/>
        </w:rPr>
        <w:t>附录</w:t>
      </w:r>
      <w:r>
        <w:rPr>
          <w:rFonts w:hint="eastAsia"/>
          <w:sz w:val="24"/>
          <w:szCs w:val="24"/>
          <w:lang w:val="en-US" w:eastAsia="zh-CN"/>
        </w:rPr>
        <w:t xml:space="preserve">D </w:t>
      </w:r>
      <w:r>
        <w:rPr>
          <w:sz w:val="24"/>
          <w:szCs w:val="24"/>
        </w:rPr>
        <w:fldChar w:fldCharType="end"/>
      </w:r>
      <w:r>
        <w:rPr>
          <w:sz w:val="24"/>
          <w:szCs w:val="24"/>
        </w:rPr>
        <w:fldChar w:fldCharType="begin"/>
      </w:r>
      <w:r>
        <w:rPr>
          <w:sz w:val="24"/>
          <w:szCs w:val="24"/>
        </w:rPr>
        <w:instrText xml:space="preserve"> HYPERLINK \l _Toc26701 </w:instrText>
      </w:r>
      <w:r>
        <w:rPr>
          <w:sz w:val="24"/>
          <w:szCs w:val="24"/>
        </w:rPr>
        <w:fldChar w:fldCharType="separate"/>
      </w:r>
      <w:r>
        <w:rPr>
          <w:rFonts w:hint="eastAsia"/>
          <w:sz w:val="24"/>
          <w:szCs w:val="24"/>
        </w:rPr>
        <w:t>校准证书（内页）格式</w:t>
      </w:r>
      <w:r>
        <w:rPr>
          <w:sz w:val="24"/>
          <w:szCs w:val="24"/>
        </w:rPr>
        <w:fldChar w:fldCharType="end"/>
      </w:r>
    </w:p>
    <w:p w14:paraId="7CC5C96C">
      <w:pPr>
        <w:numPr>
          <w:ilvl w:val="0"/>
          <w:numId w:val="0"/>
        </w:numPr>
        <w:spacing w:line="360" w:lineRule="auto"/>
        <w:rPr>
          <w:rFonts w:hint="default"/>
          <w:b/>
          <w:bCs/>
          <w:sz w:val="28"/>
          <w:szCs w:val="28"/>
          <w:highlight w:val="none"/>
          <w:lang w:val="en-US" w:eastAsia="zh-CN"/>
        </w:rPr>
      </w:pPr>
    </w:p>
    <w:p w14:paraId="33DD4BB7">
      <w:pPr>
        <w:ind w:firstLine="480" w:firstLineChars="200"/>
        <w:rPr>
          <w:rFonts w:hint="eastAsia"/>
          <w:sz w:val="24"/>
          <w:highlight w:val="none"/>
          <w:lang w:val="en-US" w:eastAsia="zh-CN"/>
        </w:rPr>
      </w:pPr>
    </w:p>
    <w:p w14:paraId="7718AD15">
      <w:pPr>
        <w:ind w:firstLine="480" w:firstLineChars="200"/>
        <w:rPr>
          <w:rFonts w:hint="eastAsia"/>
          <w:sz w:val="24"/>
          <w:highlight w:val="none"/>
          <w:lang w:val="en-US" w:eastAsia="zh-CN"/>
        </w:rPr>
      </w:pPr>
    </w:p>
    <w:p w14:paraId="13669002">
      <w:pPr>
        <w:rPr>
          <w:rFonts w:hint="eastAsia"/>
          <w:sz w:val="24"/>
          <w:highlight w:val="none"/>
        </w:rPr>
      </w:pPr>
    </w:p>
    <w:p w14:paraId="5444F879">
      <w:pPr>
        <w:ind w:firstLine="720" w:firstLineChars="300"/>
        <w:rPr>
          <w:rFonts w:hint="eastAsia"/>
          <w:sz w:val="24"/>
          <w:highlight w:val="none"/>
        </w:rPr>
      </w:pPr>
    </w:p>
    <w:p w14:paraId="4CDA39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0DBE09"/>
    <w:multiLevelType w:val="singleLevel"/>
    <w:tmpl w:val="480DBE0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MDA3MmIyYjljYTEyZDI5ZjBmZjFkZGFhODdiMjYifQ=="/>
  </w:docVars>
  <w:rsids>
    <w:rsidRoot w:val="00000000"/>
    <w:rsid w:val="01396E1E"/>
    <w:rsid w:val="034A5312"/>
    <w:rsid w:val="03647119"/>
    <w:rsid w:val="04187636"/>
    <w:rsid w:val="0438160E"/>
    <w:rsid w:val="06F51A39"/>
    <w:rsid w:val="0749370E"/>
    <w:rsid w:val="07D87279"/>
    <w:rsid w:val="087415D0"/>
    <w:rsid w:val="0A2B4DF2"/>
    <w:rsid w:val="0A6D7B38"/>
    <w:rsid w:val="0AEE2530"/>
    <w:rsid w:val="0B4526F0"/>
    <w:rsid w:val="0B846A84"/>
    <w:rsid w:val="0B9E3383"/>
    <w:rsid w:val="0BFC5C4D"/>
    <w:rsid w:val="0C931AD8"/>
    <w:rsid w:val="0CA217EA"/>
    <w:rsid w:val="0E372937"/>
    <w:rsid w:val="10512C80"/>
    <w:rsid w:val="10DA5ED0"/>
    <w:rsid w:val="123B265F"/>
    <w:rsid w:val="13EC2222"/>
    <w:rsid w:val="17932320"/>
    <w:rsid w:val="18B06F86"/>
    <w:rsid w:val="1A6B3F22"/>
    <w:rsid w:val="1F78519D"/>
    <w:rsid w:val="1FA41FB8"/>
    <w:rsid w:val="1FFD1C9B"/>
    <w:rsid w:val="1FFE0318"/>
    <w:rsid w:val="20436F19"/>
    <w:rsid w:val="20981D82"/>
    <w:rsid w:val="250E7771"/>
    <w:rsid w:val="259863A2"/>
    <w:rsid w:val="26EE1F80"/>
    <w:rsid w:val="27840543"/>
    <w:rsid w:val="27A37903"/>
    <w:rsid w:val="28425D08"/>
    <w:rsid w:val="28BE630C"/>
    <w:rsid w:val="2A0158CC"/>
    <w:rsid w:val="2A4425E4"/>
    <w:rsid w:val="2A6F5B10"/>
    <w:rsid w:val="2AA27C4A"/>
    <w:rsid w:val="2B0005C1"/>
    <w:rsid w:val="2CD63C1A"/>
    <w:rsid w:val="2F9D601C"/>
    <w:rsid w:val="31E542D4"/>
    <w:rsid w:val="384004B6"/>
    <w:rsid w:val="395A0580"/>
    <w:rsid w:val="3A78283E"/>
    <w:rsid w:val="3AA50B99"/>
    <w:rsid w:val="3B4C6D41"/>
    <w:rsid w:val="3B8A1470"/>
    <w:rsid w:val="3C2228BC"/>
    <w:rsid w:val="3CA41700"/>
    <w:rsid w:val="3EC551B7"/>
    <w:rsid w:val="3FCE4C2F"/>
    <w:rsid w:val="409A5B3B"/>
    <w:rsid w:val="40AD635E"/>
    <w:rsid w:val="411B15BA"/>
    <w:rsid w:val="415B010F"/>
    <w:rsid w:val="462A2151"/>
    <w:rsid w:val="46933EA7"/>
    <w:rsid w:val="47947ED7"/>
    <w:rsid w:val="493A78FE"/>
    <w:rsid w:val="495A5150"/>
    <w:rsid w:val="4A5D7615"/>
    <w:rsid w:val="4AE37EC1"/>
    <w:rsid w:val="4BB675E5"/>
    <w:rsid w:val="4C43426F"/>
    <w:rsid w:val="4CAC418D"/>
    <w:rsid w:val="50F8401E"/>
    <w:rsid w:val="52042732"/>
    <w:rsid w:val="53100598"/>
    <w:rsid w:val="53990C22"/>
    <w:rsid w:val="54E41CEF"/>
    <w:rsid w:val="5A9E3242"/>
    <w:rsid w:val="5B324BCF"/>
    <w:rsid w:val="5D5800B9"/>
    <w:rsid w:val="5E2F405E"/>
    <w:rsid w:val="5E3D1766"/>
    <w:rsid w:val="5E455888"/>
    <w:rsid w:val="5E9D7019"/>
    <w:rsid w:val="60481596"/>
    <w:rsid w:val="607F5667"/>
    <w:rsid w:val="615E7248"/>
    <w:rsid w:val="61F07FA8"/>
    <w:rsid w:val="64B10575"/>
    <w:rsid w:val="66456B14"/>
    <w:rsid w:val="68A21841"/>
    <w:rsid w:val="6A1F1FCE"/>
    <w:rsid w:val="6C8D35F8"/>
    <w:rsid w:val="6E1F0EA1"/>
    <w:rsid w:val="6E6C7053"/>
    <w:rsid w:val="6F0B5C80"/>
    <w:rsid w:val="700A5D1B"/>
    <w:rsid w:val="70647B8D"/>
    <w:rsid w:val="70A4290C"/>
    <w:rsid w:val="721A47FB"/>
    <w:rsid w:val="72666C7A"/>
    <w:rsid w:val="7320665D"/>
    <w:rsid w:val="73AA26AC"/>
    <w:rsid w:val="747566EF"/>
    <w:rsid w:val="759E3B4B"/>
    <w:rsid w:val="76982C90"/>
    <w:rsid w:val="772A2051"/>
    <w:rsid w:val="778F195E"/>
    <w:rsid w:val="795E2F80"/>
    <w:rsid w:val="7AA074AF"/>
    <w:rsid w:val="7B5436C8"/>
    <w:rsid w:val="7BEB5B0A"/>
    <w:rsid w:val="7CBE34ED"/>
    <w:rsid w:val="7EAD18D8"/>
    <w:rsid w:val="7EC547EC"/>
    <w:rsid w:val="7F544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autoRedefine/>
    <w:qFormat/>
    <w:uiPriority w:val="39"/>
    <w:pPr>
      <w:tabs>
        <w:tab w:val="right" w:leader="dot" w:pos="8834"/>
      </w:tabs>
      <w:spacing w:line="360" w:lineRule="auto"/>
    </w:pPr>
  </w:style>
  <w:style w:type="character" w:customStyle="1" w:styleId="6">
    <w:name w:val="font11"/>
    <w:basedOn w:val="5"/>
    <w:autoRedefine/>
    <w:qFormat/>
    <w:uiPriority w:val="0"/>
    <w:rPr>
      <w:rFonts w:hint="default" w:ascii="Times New Roman" w:hAnsi="Times New Roman" w:cs="Times New Roman"/>
      <w:color w:val="000000"/>
      <w:sz w:val="24"/>
      <w:szCs w:val="24"/>
      <w:u w:val="none"/>
    </w:rPr>
  </w:style>
  <w:style w:type="character" w:customStyle="1" w:styleId="7">
    <w:name w:val="font01"/>
    <w:basedOn w:val="5"/>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1518</Words>
  <Characters>1670</Characters>
  <Lines>0</Lines>
  <Paragraphs>0</Paragraphs>
  <TotalTime>1</TotalTime>
  <ScaleCrop>false</ScaleCrop>
  <LinksUpToDate>false</LinksUpToDate>
  <CharactersWithSpaces>1780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2022-11-06T15:29:00Z</dcterms:created>
  <dc:creator>jzl</dc:creator>
  <cp:lastModifiedBy>jiazl</cp:lastModifiedBy>
  <dcterms:modified xsi:type="dcterms:W3CDTF">2025-09-07T06:25:24Z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B40BBA61717346508B733E590A912A6C</vt:lpwstr>
  </property>
  <property fmtid="{D5CDD505-2E9C-101B-9397-08002B2CF9AE}" pid="4" name="KSOTemplateDocerSaveRecord">
    <vt:lpwstr>eyJoZGlkIjoiMzEwNTM5NzYwMDRjMzkwZTVkZjY2ODkwMGIxNGU0OTUiLCJ1c2VySWQiOiIzNTAyMjQ0MDMifQ==</vt:lpwstr>
  </property>
</Properties>
</file>